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66" w:rsidRPr="009356C0" w:rsidRDefault="00173966" w:rsidP="009356C0">
      <w:pPr>
        <w:pBdr>
          <w:bottom w:val="single" w:sz="4" w:space="1" w:color="auto"/>
        </w:pBdr>
        <w:spacing w:after="0" w:line="240" w:lineRule="auto"/>
        <w:rPr>
          <w:rFonts w:ascii="Garamond" w:hAnsi="Garamond"/>
          <w:smallCaps/>
          <w:sz w:val="24"/>
          <w:szCs w:val="24"/>
          <w:lang w:val="es-SV"/>
        </w:rPr>
      </w:pPr>
      <w:bookmarkStart w:id="0" w:name="_GoBack"/>
      <w:bookmarkEnd w:id="0"/>
      <w:r w:rsidRPr="009356C0">
        <w:rPr>
          <w:rFonts w:ascii="Garamond" w:hAnsi="Garamond"/>
          <w:smallCaps/>
          <w:sz w:val="24"/>
          <w:szCs w:val="24"/>
          <w:lang w:val="es-SV"/>
        </w:rPr>
        <w:t xml:space="preserve">Anexo </w:t>
      </w:r>
      <w:r w:rsidR="000C3E89">
        <w:rPr>
          <w:rFonts w:ascii="Garamond" w:hAnsi="Garamond"/>
          <w:smallCaps/>
          <w:sz w:val="24"/>
          <w:szCs w:val="24"/>
          <w:lang w:val="es-SV"/>
        </w:rPr>
        <w:t xml:space="preserve">Académico </w:t>
      </w:r>
      <w:r w:rsidRPr="009356C0">
        <w:rPr>
          <w:rFonts w:ascii="Garamond" w:hAnsi="Garamond"/>
          <w:smallCaps/>
          <w:sz w:val="24"/>
          <w:szCs w:val="24"/>
          <w:lang w:val="es-SV"/>
        </w:rPr>
        <w:t>1</w:t>
      </w:r>
    </w:p>
    <w:p w:rsidR="00173966" w:rsidRDefault="00173966" w:rsidP="00173966">
      <w:pPr>
        <w:spacing w:after="0" w:line="240" w:lineRule="auto"/>
        <w:rPr>
          <w:rFonts w:ascii="Garamond" w:hAnsi="Garamond"/>
          <w:sz w:val="24"/>
          <w:szCs w:val="24"/>
          <w:lang w:val="es-SV"/>
        </w:rPr>
      </w:pPr>
    </w:p>
    <w:p w:rsidR="004C6C3E" w:rsidRPr="009356C0" w:rsidRDefault="00173966" w:rsidP="001E3C9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SV"/>
        </w:rPr>
      </w:pPr>
      <w:r w:rsidRPr="009356C0">
        <w:rPr>
          <w:rFonts w:ascii="Garamond" w:hAnsi="Garamond"/>
          <w:b/>
          <w:sz w:val="24"/>
          <w:szCs w:val="24"/>
          <w:lang w:val="es-SV"/>
        </w:rPr>
        <w:t xml:space="preserve">En </w:t>
      </w:r>
      <w:r w:rsidR="001E3C96">
        <w:rPr>
          <w:rFonts w:ascii="Garamond" w:hAnsi="Garamond"/>
          <w:b/>
          <w:sz w:val="24"/>
          <w:szCs w:val="24"/>
          <w:lang w:val="es-SV"/>
        </w:rPr>
        <w:t>r</w:t>
      </w:r>
      <w:r w:rsidRPr="009356C0">
        <w:rPr>
          <w:rFonts w:ascii="Garamond" w:hAnsi="Garamond"/>
          <w:b/>
          <w:sz w:val="24"/>
          <w:szCs w:val="24"/>
          <w:lang w:val="es-SV"/>
        </w:rPr>
        <w:t xml:space="preserve">elación a </w:t>
      </w:r>
      <w:r w:rsidR="009356C0" w:rsidRPr="009356C0">
        <w:rPr>
          <w:rFonts w:ascii="Garamond" w:hAnsi="Garamond"/>
          <w:b/>
          <w:sz w:val="24"/>
          <w:szCs w:val="24"/>
          <w:lang w:val="es-SV"/>
        </w:rPr>
        <w:t>los e</w:t>
      </w:r>
      <w:r w:rsidRPr="009356C0">
        <w:rPr>
          <w:rFonts w:ascii="Garamond" w:hAnsi="Garamond"/>
          <w:b/>
          <w:sz w:val="24"/>
          <w:szCs w:val="24"/>
          <w:lang w:val="es-SV"/>
        </w:rPr>
        <w:t xml:space="preserve">studiantes de </w:t>
      </w:r>
      <w:proofErr w:type="spellStart"/>
      <w:r w:rsidR="009356C0" w:rsidRPr="009356C0">
        <w:rPr>
          <w:rFonts w:ascii="Garamond" w:hAnsi="Garamond"/>
          <w:b/>
          <w:sz w:val="24"/>
          <w:szCs w:val="24"/>
          <w:lang w:val="es-SV"/>
        </w:rPr>
        <w:t>Hochschule</w:t>
      </w:r>
      <w:proofErr w:type="spellEnd"/>
      <w:r w:rsidR="009356C0" w:rsidRPr="009356C0">
        <w:rPr>
          <w:rFonts w:ascii="Garamond" w:hAnsi="Garamond"/>
          <w:b/>
          <w:sz w:val="24"/>
          <w:szCs w:val="24"/>
          <w:lang w:val="es-SV"/>
        </w:rPr>
        <w:t xml:space="preserve"> </w:t>
      </w:r>
      <w:proofErr w:type="spellStart"/>
      <w:r w:rsidR="009356C0" w:rsidRPr="009356C0">
        <w:rPr>
          <w:rFonts w:ascii="Garamond" w:hAnsi="Garamond"/>
          <w:b/>
          <w:sz w:val="24"/>
          <w:szCs w:val="24"/>
          <w:lang w:val="es-SV"/>
        </w:rPr>
        <w:t>Furtwangen</w:t>
      </w:r>
      <w:proofErr w:type="spellEnd"/>
      <w:r w:rsidR="009356C0" w:rsidRPr="009356C0">
        <w:rPr>
          <w:rFonts w:ascii="Garamond" w:hAnsi="Garamond"/>
          <w:b/>
          <w:sz w:val="24"/>
          <w:szCs w:val="24"/>
          <w:lang w:val="es-SV"/>
        </w:rPr>
        <w:t xml:space="preserve"> </w:t>
      </w:r>
      <w:proofErr w:type="spellStart"/>
      <w:r w:rsidR="009356C0" w:rsidRPr="009356C0">
        <w:rPr>
          <w:rFonts w:ascii="Garamond" w:hAnsi="Garamond"/>
          <w:b/>
          <w:sz w:val="24"/>
          <w:szCs w:val="24"/>
          <w:lang w:val="es-SV"/>
        </w:rPr>
        <w:t>University</w:t>
      </w:r>
      <w:proofErr w:type="spellEnd"/>
      <w:r w:rsidR="009356C0" w:rsidRPr="009356C0">
        <w:rPr>
          <w:rFonts w:ascii="Garamond" w:hAnsi="Garamond"/>
          <w:b/>
          <w:sz w:val="24"/>
          <w:szCs w:val="24"/>
          <w:lang w:val="es-SV"/>
        </w:rPr>
        <w:t xml:space="preserve"> (</w:t>
      </w:r>
      <w:r w:rsidRPr="009356C0">
        <w:rPr>
          <w:rFonts w:ascii="Garamond" w:hAnsi="Garamond"/>
          <w:b/>
          <w:sz w:val="24"/>
          <w:szCs w:val="24"/>
          <w:lang w:val="es-SV"/>
        </w:rPr>
        <w:t>HFU</w:t>
      </w:r>
      <w:r w:rsidR="009356C0" w:rsidRPr="009356C0">
        <w:rPr>
          <w:rFonts w:ascii="Garamond" w:hAnsi="Garamond"/>
          <w:b/>
          <w:sz w:val="24"/>
          <w:szCs w:val="24"/>
          <w:lang w:val="es-SV"/>
        </w:rPr>
        <w:t xml:space="preserve">) que realicen estudios en </w:t>
      </w:r>
      <w:r w:rsidR="001E3C96">
        <w:rPr>
          <w:rFonts w:ascii="Garamond" w:hAnsi="Garamond"/>
          <w:b/>
          <w:sz w:val="24"/>
          <w:szCs w:val="24"/>
          <w:lang w:val="es-SV"/>
        </w:rPr>
        <w:t xml:space="preserve">la </w:t>
      </w:r>
      <w:r w:rsidR="009356C0" w:rsidRPr="009356C0">
        <w:rPr>
          <w:rFonts w:ascii="Garamond" w:hAnsi="Garamond"/>
          <w:b/>
          <w:sz w:val="24"/>
          <w:szCs w:val="24"/>
          <w:lang w:val="es-SV"/>
        </w:rPr>
        <w:t>ESEN</w:t>
      </w:r>
    </w:p>
    <w:p w:rsidR="009356C0" w:rsidRDefault="009356C0" w:rsidP="00173966">
      <w:pPr>
        <w:spacing w:after="0" w:line="240" w:lineRule="auto"/>
        <w:rPr>
          <w:rFonts w:ascii="Garamond" w:hAnsi="Garamond"/>
          <w:sz w:val="24"/>
          <w:szCs w:val="24"/>
          <w:lang w:val="es-SV"/>
        </w:rPr>
      </w:pPr>
    </w:p>
    <w:p w:rsidR="009356C0" w:rsidRDefault="009356C0" w:rsidP="00173966">
      <w:pPr>
        <w:spacing w:after="0" w:line="240" w:lineRule="auto"/>
        <w:rPr>
          <w:rFonts w:ascii="Garamond" w:hAnsi="Garamond"/>
          <w:sz w:val="24"/>
          <w:szCs w:val="24"/>
          <w:lang w:val="es-SV"/>
        </w:rPr>
      </w:pPr>
    </w:p>
    <w:p w:rsidR="009356C0" w:rsidRDefault="009356C0" w:rsidP="008C2BBD">
      <w:pPr>
        <w:spacing w:after="0" w:line="360" w:lineRule="auto"/>
        <w:jc w:val="both"/>
        <w:rPr>
          <w:rFonts w:ascii="Garamond" w:hAnsi="Garamond"/>
          <w:sz w:val="24"/>
          <w:szCs w:val="24"/>
          <w:lang w:val="es-SV"/>
        </w:rPr>
      </w:pPr>
      <w:r>
        <w:rPr>
          <w:rFonts w:ascii="Garamond" w:hAnsi="Garamond"/>
          <w:sz w:val="24"/>
          <w:szCs w:val="24"/>
          <w:lang w:val="es-SV"/>
        </w:rPr>
        <w:t xml:space="preserve">En virtud del convenio de </w:t>
      </w:r>
      <w:r w:rsidR="008C2BBD">
        <w:rPr>
          <w:rFonts w:ascii="Garamond" w:hAnsi="Garamond"/>
          <w:sz w:val="24"/>
          <w:szCs w:val="24"/>
          <w:lang w:val="es-SV"/>
        </w:rPr>
        <w:t>cooperación</w:t>
      </w:r>
      <w:r>
        <w:rPr>
          <w:rFonts w:ascii="Garamond" w:hAnsi="Garamond"/>
          <w:sz w:val="24"/>
          <w:szCs w:val="24"/>
          <w:lang w:val="es-SV"/>
        </w:rPr>
        <w:t xml:space="preserve"> académica entre HFU y ESEN, todo estudiante del programa de pregrado </w:t>
      </w:r>
      <w:r w:rsidRPr="009356C0">
        <w:rPr>
          <w:rFonts w:ascii="Garamond" w:hAnsi="Garamond"/>
          <w:i/>
          <w:sz w:val="24"/>
          <w:szCs w:val="24"/>
          <w:lang w:val="es-SV"/>
        </w:rPr>
        <w:t>International Business Management</w:t>
      </w:r>
      <w:r>
        <w:rPr>
          <w:rFonts w:ascii="Garamond" w:hAnsi="Garamond"/>
          <w:sz w:val="24"/>
          <w:szCs w:val="24"/>
          <w:lang w:val="es-SV"/>
        </w:rPr>
        <w:t xml:space="preserve"> </w:t>
      </w:r>
      <w:r w:rsidR="008C2BBD">
        <w:rPr>
          <w:rFonts w:ascii="Garamond" w:hAnsi="Garamond"/>
          <w:sz w:val="24"/>
          <w:szCs w:val="24"/>
          <w:lang w:val="es-SV"/>
        </w:rPr>
        <w:t>seleccionado</w:t>
      </w:r>
      <w:r>
        <w:rPr>
          <w:rFonts w:ascii="Garamond" w:hAnsi="Garamond"/>
          <w:sz w:val="24"/>
          <w:szCs w:val="24"/>
          <w:lang w:val="es-SV"/>
        </w:rPr>
        <w:t xml:space="preserve"> por HFU</w:t>
      </w:r>
      <w:r w:rsidR="008C2BBD">
        <w:rPr>
          <w:rFonts w:ascii="Garamond" w:hAnsi="Garamond"/>
          <w:sz w:val="24"/>
          <w:szCs w:val="24"/>
          <w:lang w:val="es-SV"/>
        </w:rPr>
        <w:t xml:space="preserve"> para realizar estudios en la ESEN, </w:t>
      </w:r>
      <w:r w:rsidR="003E75EB">
        <w:rPr>
          <w:rFonts w:ascii="Garamond" w:hAnsi="Garamond"/>
          <w:sz w:val="24"/>
          <w:szCs w:val="24"/>
          <w:lang w:val="es-SV"/>
        </w:rPr>
        <w:t>como parte del Programa de Intercambio Estudiantil de HFU,</w:t>
      </w:r>
      <w:r>
        <w:rPr>
          <w:rFonts w:ascii="Garamond" w:hAnsi="Garamond"/>
          <w:sz w:val="24"/>
          <w:szCs w:val="24"/>
          <w:lang w:val="es-SV"/>
        </w:rPr>
        <w:t xml:space="preserve"> tiene la opción de estudiar</w:t>
      </w:r>
      <w:r w:rsidR="008C2BBD">
        <w:rPr>
          <w:rFonts w:ascii="Garamond" w:hAnsi="Garamond"/>
          <w:sz w:val="24"/>
          <w:szCs w:val="24"/>
          <w:lang w:val="es-SV"/>
        </w:rPr>
        <w:t xml:space="preserve"> </w:t>
      </w:r>
      <w:r>
        <w:rPr>
          <w:rFonts w:ascii="Garamond" w:hAnsi="Garamond"/>
          <w:sz w:val="24"/>
          <w:szCs w:val="24"/>
          <w:lang w:val="es-SV"/>
        </w:rPr>
        <w:t>durante tres trim</w:t>
      </w:r>
      <w:r w:rsidR="008C2BBD">
        <w:rPr>
          <w:rFonts w:ascii="Garamond" w:hAnsi="Garamond"/>
          <w:sz w:val="24"/>
          <w:szCs w:val="24"/>
          <w:lang w:val="es-SV"/>
        </w:rPr>
        <w:t>estres académicos para optar al título de Licenciado en Economía y Negocios</w:t>
      </w:r>
      <w:r w:rsidR="001E3C96">
        <w:rPr>
          <w:rFonts w:ascii="Garamond" w:hAnsi="Garamond"/>
          <w:sz w:val="24"/>
          <w:szCs w:val="24"/>
          <w:lang w:val="es-SV"/>
        </w:rPr>
        <w:t>, una vez concluidos sus estudios en HFU</w:t>
      </w:r>
      <w:r w:rsidR="008C2BBD">
        <w:rPr>
          <w:rFonts w:ascii="Garamond" w:hAnsi="Garamond"/>
          <w:sz w:val="24"/>
          <w:szCs w:val="24"/>
          <w:lang w:val="es-SV"/>
        </w:rPr>
        <w:t>.</w:t>
      </w:r>
      <w:r w:rsidR="00F30938">
        <w:rPr>
          <w:rFonts w:ascii="Garamond" w:hAnsi="Garamond"/>
          <w:sz w:val="24"/>
          <w:szCs w:val="24"/>
          <w:lang w:val="es-SV"/>
        </w:rPr>
        <w:t xml:space="preserve"> </w:t>
      </w:r>
      <w:r w:rsidR="007B2FDB">
        <w:rPr>
          <w:rFonts w:ascii="Garamond" w:hAnsi="Garamond"/>
          <w:sz w:val="24"/>
          <w:szCs w:val="24"/>
          <w:lang w:val="es-SV"/>
        </w:rPr>
        <w:t>Cabe mencionar que las materias cursadas y aprobadas en HFU tienen equivalencias en el Plan de Estudios de la ESEN.</w:t>
      </w:r>
    </w:p>
    <w:p w:rsidR="008C2BBD" w:rsidRDefault="008C2BBD" w:rsidP="008C2BBD">
      <w:pPr>
        <w:spacing w:after="0" w:line="360" w:lineRule="auto"/>
        <w:jc w:val="both"/>
        <w:rPr>
          <w:rFonts w:ascii="Garamond" w:hAnsi="Garamond"/>
          <w:sz w:val="24"/>
          <w:szCs w:val="24"/>
          <w:lang w:val="es-SV"/>
        </w:rPr>
      </w:pPr>
    </w:p>
    <w:p w:rsidR="008C2BBD" w:rsidRDefault="008C2BBD" w:rsidP="008C2BBD">
      <w:pPr>
        <w:spacing w:after="0" w:line="360" w:lineRule="auto"/>
        <w:jc w:val="both"/>
        <w:rPr>
          <w:rFonts w:ascii="Garamond" w:hAnsi="Garamond"/>
          <w:sz w:val="24"/>
          <w:szCs w:val="24"/>
          <w:lang w:val="es-SV"/>
        </w:rPr>
      </w:pPr>
      <w:r>
        <w:rPr>
          <w:rFonts w:ascii="Garamond" w:hAnsi="Garamond"/>
          <w:sz w:val="24"/>
          <w:szCs w:val="24"/>
          <w:lang w:val="es-SV"/>
        </w:rPr>
        <w:t xml:space="preserve">Por lo tanto, todo estudiante de HFU que prosiga estudios de pregrado en Economía y Negocios en la ESEN, </w:t>
      </w:r>
      <w:r w:rsidR="002353FC">
        <w:rPr>
          <w:rFonts w:ascii="Garamond" w:hAnsi="Garamond"/>
          <w:sz w:val="24"/>
          <w:szCs w:val="24"/>
          <w:lang w:val="es-SV"/>
        </w:rPr>
        <w:t xml:space="preserve">para optar a la Licenciatura en Economía y Negocios deberá </w:t>
      </w:r>
      <w:r>
        <w:rPr>
          <w:rFonts w:ascii="Garamond" w:hAnsi="Garamond"/>
          <w:sz w:val="24"/>
          <w:szCs w:val="24"/>
          <w:lang w:val="es-SV"/>
        </w:rPr>
        <w:t>apr</w:t>
      </w:r>
      <w:r w:rsidR="002353FC">
        <w:rPr>
          <w:rFonts w:ascii="Garamond" w:hAnsi="Garamond"/>
          <w:sz w:val="24"/>
          <w:szCs w:val="24"/>
          <w:lang w:val="es-SV"/>
        </w:rPr>
        <w:t>obar</w:t>
      </w:r>
      <w:r>
        <w:rPr>
          <w:rFonts w:ascii="Garamond" w:hAnsi="Garamond"/>
          <w:sz w:val="24"/>
          <w:szCs w:val="24"/>
          <w:lang w:val="es-SV"/>
        </w:rPr>
        <w:t xml:space="preserve"> 15 </w:t>
      </w:r>
      <w:r w:rsidR="003039B6">
        <w:rPr>
          <w:rFonts w:ascii="Garamond" w:hAnsi="Garamond"/>
          <w:sz w:val="24"/>
          <w:szCs w:val="24"/>
          <w:lang w:val="es-SV"/>
        </w:rPr>
        <w:t>asignaturas</w:t>
      </w:r>
      <w:r>
        <w:rPr>
          <w:rFonts w:ascii="Garamond" w:hAnsi="Garamond"/>
          <w:sz w:val="24"/>
          <w:szCs w:val="24"/>
          <w:lang w:val="es-SV"/>
        </w:rPr>
        <w:t xml:space="preserve"> que equivalen a una carga académica de 44 unidades valorativas</w:t>
      </w:r>
      <w:r w:rsidR="003039B6">
        <w:rPr>
          <w:rFonts w:ascii="Garamond" w:hAnsi="Garamond"/>
          <w:sz w:val="24"/>
          <w:szCs w:val="24"/>
          <w:lang w:val="es-SV"/>
        </w:rPr>
        <w:t xml:space="preserve"> tal como</w:t>
      </w:r>
      <w:r>
        <w:rPr>
          <w:rFonts w:ascii="Garamond" w:hAnsi="Garamond"/>
          <w:sz w:val="24"/>
          <w:szCs w:val="24"/>
          <w:lang w:val="es-SV"/>
        </w:rPr>
        <w:t xml:space="preserve"> se señala a continuación:</w:t>
      </w:r>
    </w:p>
    <w:p w:rsidR="002353FC" w:rsidRDefault="002353FC" w:rsidP="008C2BBD">
      <w:pPr>
        <w:spacing w:after="0" w:line="360" w:lineRule="auto"/>
        <w:jc w:val="both"/>
        <w:rPr>
          <w:rFonts w:ascii="Garamond" w:hAnsi="Garamond"/>
          <w:sz w:val="24"/>
          <w:szCs w:val="24"/>
          <w:lang w:val="es-SV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49"/>
        <w:gridCol w:w="44"/>
      </w:tblGrid>
      <w:tr w:rsidR="008C2BBD" w:rsidRPr="00C27C6E" w:rsidTr="00BF4431">
        <w:trPr>
          <w:gridAfter w:val="1"/>
          <w:wAfter w:w="44" w:type="dxa"/>
          <w:jc w:val="center"/>
        </w:trPr>
        <w:tc>
          <w:tcPr>
            <w:tcW w:w="5080" w:type="dxa"/>
            <w:gridSpan w:val="2"/>
            <w:shd w:val="clear" w:color="auto" w:fill="000000" w:themeFill="text1"/>
          </w:tcPr>
          <w:p w:rsidR="008C2BBD" w:rsidRPr="00C27C6E" w:rsidRDefault="008C2BBD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Año Académico en ESEN</w:t>
            </w:r>
          </w:p>
        </w:tc>
      </w:tr>
      <w:tr w:rsidR="008C2BBD" w:rsidRPr="00C27C6E" w:rsidTr="00BF4431">
        <w:trPr>
          <w:gridAfter w:val="1"/>
          <w:wAfter w:w="44" w:type="dxa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8C2BBD" w:rsidRPr="00C27C6E" w:rsidRDefault="008C2BBD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Ciclo I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8C2BBD" w:rsidRPr="00C27C6E" w:rsidRDefault="002353FC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UV</w:t>
            </w:r>
          </w:p>
        </w:tc>
      </w:tr>
      <w:tr w:rsidR="008C2BBD" w:rsidRPr="00C27C6E" w:rsidTr="00BF4431">
        <w:trPr>
          <w:gridAfter w:val="1"/>
          <w:wAfter w:w="44" w:type="dxa"/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8C2BBD" w:rsidRPr="00C27C6E" w:rsidRDefault="008C2BBD" w:rsidP="009618E1">
            <w:pPr>
              <w:jc w:val="right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Ciencia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Política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8C2BBD" w:rsidRPr="00C27C6E" w:rsidRDefault="002353FC" w:rsidP="009618E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8C2BBD" w:rsidRPr="005F4FCF" w:rsidTr="00BF4431">
        <w:trPr>
          <w:gridAfter w:val="1"/>
          <w:wAfter w:w="44" w:type="dxa"/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8C2BBD" w:rsidRPr="00FC1CC7" w:rsidRDefault="008C2BBD" w:rsidP="009618E1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Finanzas Públicas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8C2BBD" w:rsidRPr="005F4FCF" w:rsidRDefault="002353FC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  <w:tr w:rsidR="008C2BBD" w:rsidRPr="005F4FCF" w:rsidTr="00BF4431">
        <w:trPr>
          <w:gridAfter w:val="1"/>
          <w:wAfter w:w="44" w:type="dxa"/>
          <w:jc w:val="center"/>
        </w:trPr>
        <w:tc>
          <w:tcPr>
            <w:tcW w:w="4531" w:type="dxa"/>
          </w:tcPr>
          <w:p w:rsidR="008C2BBD" w:rsidRPr="005F4FCF" w:rsidRDefault="008C2BBD" w:rsidP="009618E1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Organización Industrial</w:t>
            </w:r>
          </w:p>
        </w:tc>
        <w:tc>
          <w:tcPr>
            <w:tcW w:w="549" w:type="dxa"/>
            <w:shd w:val="clear" w:color="auto" w:fill="auto"/>
          </w:tcPr>
          <w:p w:rsidR="008C2BBD" w:rsidRPr="002353FC" w:rsidRDefault="002353FC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 w:rsidRPr="002353FC"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  <w:tr w:rsidR="008C2BBD" w:rsidRPr="005F4FCF" w:rsidTr="00BF4431">
        <w:trPr>
          <w:gridAfter w:val="1"/>
          <w:wAfter w:w="44" w:type="dxa"/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8C2BBD" w:rsidRPr="005F4FCF" w:rsidRDefault="008C2BBD" w:rsidP="008C2BBD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 de 5º Año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8C2BBD" w:rsidRPr="002353FC" w:rsidRDefault="002353FC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 w:rsidRPr="002353FC"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  <w:tr w:rsidR="008C2BBD" w:rsidRPr="005F4FCF" w:rsidTr="00BF4431">
        <w:trPr>
          <w:gridAfter w:val="1"/>
          <w:wAfter w:w="44" w:type="dxa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8C2BBD" w:rsidRPr="005F4FCF" w:rsidRDefault="008C2BBD" w:rsidP="009618E1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 de 5º Año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8C2BBD" w:rsidRPr="005F4FCF" w:rsidRDefault="002353FC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  <w:tr w:rsidR="008C2BBD" w:rsidRPr="00C27C6E" w:rsidTr="00BF44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8C2BBD" w:rsidRPr="00C27C6E" w:rsidRDefault="008C2BBD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Ciclo II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</w:tcPr>
          <w:p w:rsidR="008C2BBD" w:rsidRPr="00C27C6E" w:rsidRDefault="008C2BBD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2BBD" w:rsidRPr="00C27C6E" w:rsidTr="00BF4431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8C2BBD" w:rsidRPr="00C27C6E" w:rsidRDefault="008C2BBD" w:rsidP="009618E1">
            <w:pPr>
              <w:jc w:val="right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Economía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5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2BBD" w:rsidRPr="00C27C6E" w:rsidRDefault="002353FC" w:rsidP="009618E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8C2BBD" w:rsidRPr="005F4FCF" w:rsidTr="00BF4431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8C2BBD" w:rsidRPr="005F4FCF" w:rsidRDefault="008C2BBD" w:rsidP="009618E1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Control Gerencial</w:t>
            </w: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:rsidR="008C2BBD" w:rsidRPr="005F4FCF" w:rsidRDefault="002353FC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  <w:tr w:rsidR="008C2BBD" w:rsidRPr="005F4FCF" w:rsidTr="00BF4431">
        <w:trPr>
          <w:jc w:val="center"/>
        </w:trPr>
        <w:tc>
          <w:tcPr>
            <w:tcW w:w="4531" w:type="dxa"/>
          </w:tcPr>
          <w:p w:rsidR="008C2BBD" w:rsidRPr="005F4FCF" w:rsidRDefault="008C2BBD" w:rsidP="00464D5B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R</w:t>
            </w:r>
            <w:r w:rsidR="00464D5B">
              <w:rPr>
                <w:rFonts w:ascii="Garamond" w:hAnsi="Garamond"/>
                <w:sz w:val="24"/>
                <w:szCs w:val="24"/>
                <w:lang w:val="es-SV"/>
              </w:rPr>
              <w:t xml:space="preserve">ealidad </w:t>
            </w:r>
            <w:r>
              <w:rPr>
                <w:rFonts w:ascii="Garamond" w:hAnsi="Garamond"/>
                <w:sz w:val="24"/>
                <w:szCs w:val="24"/>
                <w:lang w:val="es-SV"/>
              </w:rPr>
              <w:t>E</w:t>
            </w:r>
            <w:r w:rsidR="00464D5B">
              <w:rPr>
                <w:rFonts w:ascii="Garamond" w:hAnsi="Garamond"/>
                <w:sz w:val="24"/>
                <w:szCs w:val="24"/>
                <w:lang w:val="es-SV"/>
              </w:rPr>
              <w:t xml:space="preserve">mpresarial </w:t>
            </w:r>
            <w:r>
              <w:rPr>
                <w:rFonts w:ascii="Garamond" w:hAnsi="Garamond"/>
                <w:sz w:val="24"/>
                <w:szCs w:val="24"/>
                <w:lang w:val="es-SV"/>
              </w:rPr>
              <w:t>N</w:t>
            </w:r>
            <w:r w:rsidR="00464D5B">
              <w:rPr>
                <w:rFonts w:ascii="Garamond" w:hAnsi="Garamond"/>
                <w:sz w:val="24"/>
                <w:szCs w:val="24"/>
                <w:lang w:val="es-SV"/>
              </w:rPr>
              <w:t>acional</w:t>
            </w:r>
          </w:p>
        </w:tc>
        <w:tc>
          <w:tcPr>
            <w:tcW w:w="593" w:type="dxa"/>
            <w:gridSpan w:val="2"/>
            <w:shd w:val="clear" w:color="auto" w:fill="auto"/>
          </w:tcPr>
          <w:p w:rsidR="008C2BBD" w:rsidRPr="005F4FCF" w:rsidRDefault="002353FC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2</w:t>
            </w:r>
          </w:p>
        </w:tc>
      </w:tr>
      <w:tr w:rsidR="008C2BBD" w:rsidRPr="005F4FCF" w:rsidTr="00BF4431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8C2BBD" w:rsidRPr="005F4FCF" w:rsidRDefault="008C2BBD" w:rsidP="009618E1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Electiva </w:t>
            </w:r>
            <w:r w:rsidR="006C3617">
              <w:rPr>
                <w:rFonts w:ascii="Garamond" w:hAnsi="Garamond"/>
                <w:sz w:val="24"/>
                <w:szCs w:val="24"/>
                <w:lang w:val="es-SV"/>
              </w:rPr>
              <w:t xml:space="preserve">de </w:t>
            </w:r>
            <w:r>
              <w:rPr>
                <w:rFonts w:ascii="Garamond" w:hAnsi="Garamond"/>
                <w:sz w:val="24"/>
                <w:szCs w:val="24"/>
                <w:lang w:val="es-SV"/>
              </w:rPr>
              <w:t>5º Año</w:t>
            </w: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:rsidR="008C2BBD" w:rsidRPr="005F4FCF" w:rsidRDefault="002353FC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  <w:tr w:rsidR="008C2BBD" w:rsidRPr="005F4FCF" w:rsidTr="00BF44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8C2BBD" w:rsidRPr="005F4FCF" w:rsidRDefault="008C2BBD" w:rsidP="009618E1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Electiva </w:t>
            </w:r>
            <w:r w:rsidR="006C3617">
              <w:rPr>
                <w:rFonts w:ascii="Garamond" w:hAnsi="Garamond"/>
                <w:sz w:val="24"/>
                <w:szCs w:val="24"/>
                <w:lang w:val="es-SV"/>
              </w:rPr>
              <w:t xml:space="preserve">de </w:t>
            </w:r>
            <w:r>
              <w:rPr>
                <w:rFonts w:ascii="Garamond" w:hAnsi="Garamond"/>
                <w:sz w:val="24"/>
                <w:szCs w:val="24"/>
                <w:lang w:val="es-SV"/>
              </w:rPr>
              <w:t>5º Año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BBD" w:rsidRPr="005F4FCF" w:rsidRDefault="002353FC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  <w:tr w:rsidR="008C2BBD" w:rsidRPr="00C27C6E" w:rsidTr="00BF44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8C2BBD" w:rsidRPr="00C27C6E" w:rsidRDefault="008C2BBD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Ciclo III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BBD" w:rsidRPr="00C27C6E" w:rsidRDefault="008C2BBD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F4431" w:rsidRPr="00C27C6E" w:rsidTr="00BF4431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BF4431" w:rsidRPr="005F4FCF" w:rsidRDefault="00BF4431" w:rsidP="00434A89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Economía Salvadoreña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4431" w:rsidRPr="00C27C6E" w:rsidRDefault="00BF4431" w:rsidP="009618E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BF4431" w:rsidRPr="005F4FCF" w:rsidTr="00BF4431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BF4431" w:rsidRPr="005F4FCF" w:rsidRDefault="00BF4431" w:rsidP="002B2AD3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Política Económica</w:t>
            </w: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:rsidR="00BF4431" w:rsidRPr="005F4FCF" w:rsidRDefault="00BF4431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  <w:tr w:rsidR="00BF4431" w:rsidRPr="005F4FCF" w:rsidTr="00BF4431">
        <w:trPr>
          <w:jc w:val="center"/>
        </w:trPr>
        <w:tc>
          <w:tcPr>
            <w:tcW w:w="4531" w:type="dxa"/>
          </w:tcPr>
          <w:p w:rsidR="00BF4431" w:rsidRPr="005F4FCF" w:rsidRDefault="00BF4431" w:rsidP="000E667A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Política de Negocios</w:t>
            </w:r>
          </w:p>
        </w:tc>
        <w:tc>
          <w:tcPr>
            <w:tcW w:w="593" w:type="dxa"/>
            <w:gridSpan w:val="2"/>
            <w:shd w:val="clear" w:color="auto" w:fill="auto"/>
          </w:tcPr>
          <w:p w:rsidR="00BF4431" w:rsidRPr="005F4FCF" w:rsidRDefault="00BF4431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  <w:tr w:rsidR="00BF4431" w:rsidRPr="005F4FCF" w:rsidTr="00BF4431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BF4431" w:rsidRPr="005F4FCF" w:rsidRDefault="00BF4431" w:rsidP="009618E1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 de 5º Año</w:t>
            </w:r>
          </w:p>
        </w:tc>
        <w:tc>
          <w:tcPr>
            <w:tcW w:w="593" w:type="dxa"/>
            <w:gridSpan w:val="2"/>
            <w:shd w:val="clear" w:color="auto" w:fill="D9D9D9" w:themeFill="background1" w:themeFillShade="D9"/>
          </w:tcPr>
          <w:p w:rsidR="00BF4431" w:rsidRPr="005F4FCF" w:rsidRDefault="00BF4431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  <w:tr w:rsidR="00BF4431" w:rsidRPr="005F4FCF" w:rsidTr="00BF44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BF4431" w:rsidRPr="005F4FCF" w:rsidRDefault="00BF4431" w:rsidP="009618E1">
            <w:pPr>
              <w:jc w:val="right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 de 5º Año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431" w:rsidRPr="005F4FCF" w:rsidRDefault="00BF4431" w:rsidP="009618E1">
            <w:pPr>
              <w:jc w:val="center"/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3</w:t>
            </w:r>
          </w:p>
        </w:tc>
      </w:tr>
    </w:tbl>
    <w:p w:rsidR="008C2BBD" w:rsidRDefault="008C2BBD" w:rsidP="008C2BBD">
      <w:pPr>
        <w:spacing w:after="0" w:line="360" w:lineRule="auto"/>
        <w:jc w:val="both"/>
        <w:rPr>
          <w:rFonts w:ascii="Garamond" w:hAnsi="Garamond"/>
          <w:sz w:val="24"/>
          <w:szCs w:val="24"/>
          <w:lang w:val="es-SV"/>
        </w:rPr>
      </w:pPr>
    </w:p>
    <w:p w:rsidR="003039B6" w:rsidRDefault="001E3C96" w:rsidP="001E3C96">
      <w:pPr>
        <w:spacing w:after="0" w:line="360" w:lineRule="auto"/>
        <w:jc w:val="both"/>
        <w:rPr>
          <w:rFonts w:ascii="Garamond" w:hAnsi="Garamond"/>
          <w:sz w:val="24"/>
          <w:szCs w:val="24"/>
          <w:lang w:val="es-SV"/>
        </w:rPr>
      </w:pPr>
      <w:r>
        <w:rPr>
          <w:rFonts w:ascii="Garamond" w:hAnsi="Garamond"/>
          <w:sz w:val="24"/>
          <w:szCs w:val="24"/>
          <w:lang w:val="es-SV"/>
        </w:rPr>
        <w:t xml:space="preserve">En caso ocurriese algún cambio en el plan de estudios de la Licenciatura en Economía y Negocios, se modificaría la carga antes señalada para los estudiantes de HFU por mutuo acuerdo entre HFU y </w:t>
      </w:r>
      <w:r>
        <w:rPr>
          <w:rFonts w:ascii="Garamond" w:hAnsi="Garamond"/>
          <w:sz w:val="24"/>
          <w:szCs w:val="24"/>
          <w:lang w:val="es-SV"/>
        </w:rPr>
        <w:lastRenderedPageBreak/>
        <w:t>ESEN, para así mantener vigente la posibilidad de cursar y aprobar al menos 44 unidades valorativas en la ESEN.</w:t>
      </w:r>
    </w:p>
    <w:p w:rsidR="001E3C96" w:rsidRDefault="001E3C96" w:rsidP="001E3C96">
      <w:pPr>
        <w:spacing w:after="0" w:line="360" w:lineRule="auto"/>
        <w:jc w:val="both"/>
        <w:rPr>
          <w:rFonts w:ascii="Garamond" w:hAnsi="Garamond"/>
          <w:sz w:val="24"/>
          <w:szCs w:val="24"/>
          <w:lang w:val="es-SV"/>
        </w:rPr>
      </w:pPr>
    </w:p>
    <w:p w:rsidR="008C2BBD" w:rsidRDefault="003039B6" w:rsidP="008C2BBD">
      <w:pPr>
        <w:spacing w:after="0" w:line="360" w:lineRule="auto"/>
        <w:jc w:val="both"/>
        <w:rPr>
          <w:rFonts w:ascii="Garamond" w:hAnsi="Garamond"/>
          <w:sz w:val="24"/>
          <w:szCs w:val="24"/>
          <w:lang w:val="es-SV"/>
        </w:rPr>
      </w:pPr>
      <w:r>
        <w:rPr>
          <w:rFonts w:ascii="Garamond" w:hAnsi="Garamond"/>
          <w:sz w:val="24"/>
          <w:szCs w:val="24"/>
          <w:lang w:val="es-SV"/>
        </w:rPr>
        <w:t xml:space="preserve">Asimismo, y dada la siguiente matriz de equivalencias entre el Programa International Business Management de HFU y el Programa de Licenciatura en Economía y Negocios de la ESEN, en el caso de los estudiantes de HFU que finalicen sus estudios en </w:t>
      </w:r>
      <w:r w:rsidR="001E3C96">
        <w:rPr>
          <w:rFonts w:ascii="Garamond" w:hAnsi="Garamond"/>
          <w:sz w:val="24"/>
          <w:szCs w:val="24"/>
          <w:lang w:val="es-SV"/>
        </w:rPr>
        <w:t xml:space="preserve">dicha institución y hayan aprobado los 3 trimestres </w:t>
      </w:r>
      <w:r w:rsidR="007B2FDB">
        <w:rPr>
          <w:rFonts w:ascii="Garamond" w:hAnsi="Garamond"/>
          <w:sz w:val="24"/>
          <w:szCs w:val="24"/>
          <w:lang w:val="es-SV"/>
        </w:rPr>
        <w:t xml:space="preserve">académicos </w:t>
      </w:r>
      <w:r w:rsidR="001E3C96">
        <w:rPr>
          <w:rFonts w:ascii="Garamond" w:hAnsi="Garamond"/>
          <w:sz w:val="24"/>
          <w:szCs w:val="24"/>
          <w:lang w:val="es-SV"/>
        </w:rPr>
        <w:t xml:space="preserve">anteriormente señalados en </w:t>
      </w:r>
      <w:r w:rsidR="00774546">
        <w:rPr>
          <w:rFonts w:ascii="Garamond" w:hAnsi="Garamond"/>
          <w:sz w:val="24"/>
          <w:szCs w:val="24"/>
          <w:lang w:val="es-SV"/>
        </w:rPr>
        <w:t xml:space="preserve">la </w:t>
      </w:r>
      <w:r w:rsidR="001E3C96">
        <w:rPr>
          <w:rFonts w:ascii="Garamond" w:hAnsi="Garamond"/>
          <w:sz w:val="24"/>
          <w:szCs w:val="24"/>
          <w:lang w:val="es-SV"/>
        </w:rPr>
        <w:t>ESEN</w:t>
      </w:r>
      <w:r>
        <w:rPr>
          <w:rFonts w:ascii="Garamond" w:hAnsi="Garamond"/>
          <w:sz w:val="24"/>
          <w:szCs w:val="24"/>
          <w:lang w:val="es-SV"/>
        </w:rPr>
        <w:t xml:space="preserve">, bastará la comunicación directa que </w:t>
      </w:r>
      <w:r w:rsidR="001E3C96">
        <w:rPr>
          <w:rFonts w:ascii="Garamond" w:hAnsi="Garamond"/>
          <w:sz w:val="24"/>
          <w:szCs w:val="24"/>
          <w:lang w:val="es-SV"/>
        </w:rPr>
        <w:t>HFU</w:t>
      </w:r>
      <w:r>
        <w:rPr>
          <w:rFonts w:ascii="Garamond" w:hAnsi="Garamond"/>
          <w:sz w:val="24"/>
          <w:szCs w:val="24"/>
          <w:lang w:val="es-SV"/>
        </w:rPr>
        <w:t xml:space="preserve"> haga a la ESEN sobre el término exitoso de su programa de estudios, para que se incorpore ese resultado al expediente académico de </w:t>
      </w:r>
      <w:r w:rsidR="001E3C96">
        <w:rPr>
          <w:rFonts w:ascii="Garamond" w:hAnsi="Garamond"/>
          <w:sz w:val="24"/>
          <w:szCs w:val="24"/>
          <w:lang w:val="es-SV"/>
        </w:rPr>
        <w:t>l</w:t>
      </w:r>
      <w:r>
        <w:rPr>
          <w:rFonts w:ascii="Garamond" w:hAnsi="Garamond"/>
          <w:sz w:val="24"/>
          <w:szCs w:val="24"/>
          <w:lang w:val="es-SV"/>
        </w:rPr>
        <w:t>os estudiantes</w:t>
      </w:r>
      <w:r w:rsidR="001E3C96">
        <w:rPr>
          <w:rFonts w:ascii="Garamond" w:hAnsi="Garamond"/>
          <w:sz w:val="24"/>
          <w:szCs w:val="24"/>
          <w:lang w:val="es-SV"/>
        </w:rPr>
        <w:t xml:space="preserve"> de HFU</w:t>
      </w:r>
      <w:r>
        <w:rPr>
          <w:rFonts w:ascii="Garamond" w:hAnsi="Garamond"/>
          <w:sz w:val="24"/>
          <w:szCs w:val="24"/>
          <w:lang w:val="es-SV"/>
        </w:rPr>
        <w:t xml:space="preserve"> en la ESEN, y así proceder a tramitar la emisión del título de Licenciado en Economía y Negocios.</w:t>
      </w:r>
    </w:p>
    <w:p w:rsidR="001E3C96" w:rsidRPr="00493795" w:rsidRDefault="001E3C96" w:rsidP="001E3C96">
      <w:pPr>
        <w:spacing w:after="0" w:line="240" w:lineRule="auto"/>
        <w:rPr>
          <w:rFonts w:ascii="Garamond" w:hAnsi="Garamond"/>
          <w:b/>
          <w:sz w:val="24"/>
          <w:szCs w:val="24"/>
          <w:lang w:val="es-SV"/>
        </w:rPr>
      </w:pPr>
      <w:r>
        <w:rPr>
          <w:rFonts w:ascii="Garamond" w:hAnsi="Garamond"/>
          <w:b/>
          <w:sz w:val="24"/>
          <w:szCs w:val="24"/>
          <w:lang w:val="es-SV"/>
        </w:rPr>
        <w:t xml:space="preserve">Equivalencias para asignaturas de </w:t>
      </w:r>
      <w:r w:rsidRPr="00493795">
        <w:rPr>
          <w:rFonts w:ascii="Garamond" w:hAnsi="Garamond"/>
          <w:b/>
          <w:sz w:val="24"/>
          <w:szCs w:val="24"/>
          <w:lang w:val="es-SV"/>
        </w:rPr>
        <w:t>1er Año</w:t>
      </w:r>
      <w:r>
        <w:rPr>
          <w:rFonts w:ascii="Garamond" w:hAnsi="Garamond"/>
          <w:b/>
          <w:sz w:val="24"/>
          <w:szCs w:val="24"/>
          <w:lang w:val="es-SV"/>
        </w:rPr>
        <w:t xml:space="preserve"> y 2º Año de ESEN</w:t>
      </w:r>
      <w:r w:rsidR="00F111F9">
        <w:rPr>
          <w:rFonts w:ascii="Garamond" w:hAnsi="Garamond"/>
          <w:b/>
          <w:sz w:val="24"/>
          <w:szCs w:val="24"/>
          <w:lang w:val="es-SV"/>
        </w:rPr>
        <w:t xml:space="preserve"> entre HFU y ESEN:</w:t>
      </w:r>
    </w:p>
    <w:p w:rsidR="001E3C96" w:rsidRPr="004D631F" w:rsidRDefault="001E3C96" w:rsidP="001E3C96">
      <w:pPr>
        <w:spacing w:after="0" w:line="240" w:lineRule="auto"/>
        <w:rPr>
          <w:lang w:val="es-S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379"/>
        <w:gridCol w:w="4169"/>
        <w:gridCol w:w="379"/>
      </w:tblGrid>
      <w:tr w:rsidR="001E3C96" w:rsidRPr="00C27C6E" w:rsidTr="001E3C96">
        <w:trPr>
          <w:jc w:val="center"/>
        </w:trPr>
        <w:tc>
          <w:tcPr>
            <w:tcW w:w="5028" w:type="dxa"/>
            <w:gridSpan w:val="2"/>
            <w:shd w:val="clear" w:color="auto" w:fill="000000" w:themeFill="text1"/>
          </w:tcPr>
          <w:p w:rsidR="001E3C96" w:rsidRPr="00C27C6E" w:rsidRDefault="001E3C96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27C6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HFU</w:t>
            </w: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/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Bachillerato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 Alemán</w:t>
            </w:r>
          </w:p>
        </w:tc>
        <w:tc>
          <w:tcPr>
            <w:tcW w:w="4548" w:type="dxa"/>
            <w:gridSpan w:val="2"/>
            <w:shd w:val="clear" w:color="auto" w:fill="000000" w:themeFill="text1"/>
          </w:tcPr>
          <w:p w:rsidR="001E3C96" w:rsidRPr="00C27C6E" w:rsidRDefault="001E3C96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27C6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ESEN</w:t>
            </w: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C27C6E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Matemáticas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(Bach.)</w:t>
            </w:r>
          </w:p>
        </w:tc>
        <w:tc>
          <w:tcPr>
            <w:tcW w:w="379" w:type="dxa"/>
            <w:vAlign w:val="center"/>
          </w:tcPr>
          <w:p w:rsidR="001E3C96" w:rsidRPr="00C27C6E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 w:rsidRPr="00647C95">
              <w:rPr>
                <w:rFonts w:ascii="Garamond" w:hAnsi="Garamond"/>
                <w:sz w:val="24"/>
                <w:szCs w:val="24"/>
                <w:lang w:val="es-SV"/>
              </w:rPr>
              <w:t>Matemáticas I, Matemáticas II, Álgebra I</w:t>
            </w:r>
            <w:r>
              <w:rPr>
                <w:rFonts w:ascii="Garamond" w:hAnsi="Garamond"/>
                <w:sz w:val="24"/>
                <w:szCs w:val="24"/>
                <w:lang w:val="es-SV"/>
              </w:rPr>
              <w:t>, Álgebra II</w:t>
            </w:r>
          </w:p>
        </w:tc>
        <w:tc>
          <w:tcPr>
            <w:tcW w:w="379" w:type="dxa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Inglés (Bach.)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Inglés I, Inglés II, Inglés III, Inglés IV(Electiva 2º Año)</w:t>
            </w:r>
          </w:p>
        </w:tc>
        <w:tc>
          <w:tcPr>
            <w:tcW w:w="379" w:type="dxa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Estudios Sociales (Bach.)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Introducción a la Economía, Introducción al Derecho, Historia de las Ideas de Occidente</w:t>
            </w:r>
          </w:p>
        </w:tc>
        <w:tc>
          <w:tcPr>
            <w:tcW w:w="379" w:type="dxa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Ética y Arte (Bach.)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Historia de la Filosofía, Antropología Filosófica</w:t>
            </w:r>
          </w:p>
        </w:tc>
        <w:tc>
          <w:tcPr>
            <w:tcW w:w="379" w:type="dxa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Lenguaje 2º Idioma - Español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Lenguaje, Técnicas de Estudio y Expresión I, II y III</w:t>
            </w:r>
          </w:p>
        </w:tc>
        <w:tc>
          <w:tcPr>
            <w:tcW w:w="379" w:type="dxa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Skills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Development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&amp;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Team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Dynamics (Desarrollo de Habilidades y Dinámicas de Equipos)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4937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 w:rsidRPr="00493795">
              <w:rPr>
                <w:rFonts w:ascii="Garamond" w:hAnsi="Garamond"/>
                <w:sz w:val="24"/>
                <w:szCs w:val="24"/>
                <w:lang w:val="es-SV"/>
              </w:rPr>
              <w:t>Bienestar Total (BT) I, BTII y BTIII</w:t>
            </w:r>
          </w:p>
        </w:tc>
        <w:tc>
          <w:tcPr>
            <w:tcW w:w="379" w:type="dxa"/>
          </w:tcPr>
          <w:p w:rsidR="001E3C96" w:rsidRPr="004937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Informática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(Bach.)</w:t>
            </w:r>
          </w:p>
        </w:tc>
        <w:tc>
          <w:tcPr>
            <w:tcW w:w="379" w:type="dxa"/>
            <w:vAlign w:val="center"/>
          </w:tcPr>
          <w:p w:rsidR="001E3C96" w:rsidRPr="008F2CC7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874B6E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 w:rsidRPr="00874B6E">
              <w:rPr>
                <w:rFonts w:ascii="Garamond" w:hAnsi="Garamond"/>
                <w:sz w:val="24"/>
                <w:szCs w:val="24"/>
                <w:lang w:val="es-SV"/>
              </w:rPr>
              <w:t>Introducción a la Computación I y II</w:t>
            </w:r>
          </w:p>
        </w:tc>
        <w:tc>
          <w:tcPr>
            <w:tcW w:w="379" w:type="dxa"/>
          </w:tcPr>
          <w:p w:rsidR="001E3C96" w:rsidRPr="00874B6E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8F2CC7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Introduction to Business Management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Introducción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Administración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Empresas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79" w:type="dxa"/>
            <w:vAlign w:val="center"/>
          </w:tcPr>
          <w:p w:rsidR="001E3C96" w:rsidRPr="008F2CC7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294180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 w:rsidRPr="00294180">
              <w:rPr>
                <w:rFonts w:ascii="Garamond" w:hAnsi="Garamond"/>
                <w:sz w:val="24"/>
                <w:szCs w:val="24"/>
                <w:lang w:val="es-SV"/>
              </w:rPr>
              <w:t>Introducción a los Negocios y REN I</w:t>
            </w:r>
          </w:p>
        </w:tc>
        <w:tc>
          <w:tcPr>
            <w:tcW w:w="379" w:type="dxa"/>
          </w:tcPr>
          <w:p w:rsidR="001E3C96" w:rsidRPr="00294180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</w:tbl>
    <w:p w:rsidR="001E3C96" w:rsidRPr="00294180" w:rsidRDefault="001E3C96" w:rsidP="001E3C96">
      <w:pPr>
        <w:rPr>
          <w:lang w:val="es-SV"/>
        </w:rPr>
      </w:pPr>
    </w:p>
    <w:p w:rsidR="001E3C96" w:rsidRDefault="001E3C96" w:rsidP="001E3C96">
      <w:pPr>
        <w:spacing w:after="0" w:line="240" w:lineRule="auto"/>
        <w:rPr>
          <w:rFonts w:ascii="Garamond" w:hAnsi="Garamond"/>
          <w:b/>
          <w:sz w:val="24"/>
          <w:szCs w:val="24"/>
          <w:lang w:val="es-SV"/>
        </w:rPr>
      </w:pPr>
      <w:r>
        <w:rPr>
          <w:rFonts w:ascii="Garamond" w:hAnsi="Garamond"/>
          <w:b/>
          <w:sz w:val="24"/>
          <w:szCs w:val="24"/>
          <w:lang w:val="es-SV"/>
        </w:rPr>
        <w:t>Equivalencias para asignaturas de 2º Año de ESEN</w:t>
      </w:r>
      <w:r w:rsidR="00F111F9">
        <w:rPr>
          <w:rFonts w:ascii="Garamond" w:hAnsi="Garamond"/>
          <w:b/>
          <w:sz w:val="24"/>
          <w:szCs w:val="24"/>
          <w:lang w:val="es-SV"/>
        </w:rPr>
        <w:t xml:space="preserve"> entre HFU y ESEN:</w:t>
      </w:r>
    </w:p>
    <w:p w:rsidR="001E3C96" w:rsidRPr="00493795" w:rsidRDefault="001E3C96" w:rsidP="001E3C96">
      <w:pPr>
        <w:spacing w:after="0" w:line="240" w:lineRule="auto"/>
        <w:rPr>
          <w:rFonts w:ascii="Garamond" w:hAnsi="Garamond"/>
          <w:b/>
          <w:sz w:val="24"/>
          <w:szCs w:val="24"/>
          <w:lang w:val="es-S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379"/>
        <w:gridCol w:w="4169"/>
        <w:gridCol w:w="379"/>
      </w:tblGrid>
      <w:tr w:rsidR="001E3C96" w:rsidRPr="00C27C6E" w:rsidTr="001E3C96">
        <w:trPr>
          <w:jc w:val="center"/>
        </w:trPr>
        <w:tc>
          <w:tcPr>
            <w:tcW w:w="5028" w:type="dxa"/>
            <w:gridSpan w:val="2"/>
            <w:shd w:val="clear" w:color="auto" w:fill="000000" w:themeFill="text1"/>
          </w:tcPr>
          <w:p w:rsidR="001E3C96" w:rsidRPr="00C27C6E" w:rsidRDefault="001E3C96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27C6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HFU</w:t>
            </w: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/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Bachillerato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 Alemán</w:t>
            </w:r>
          </w:p>
        </w:tc>
        <w:tc>
          <w:tcPr>
            <w:tcW w:w="4548" w:type="dxa"/>
            <w:gridSpan w:val="2"/>
            <w:shd w:val="clear" w:color="auto" w:fill="000000" w:themeFill="text1"/>
          </w:tcPr>
          <w:p w:rsidR="001E3C96" w:rsidRPr="00C27C6E" w:rsidRDefault="001E3C96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27C6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ESEN</w:t>
            </w:r>
          </w:p>
        </w:tc>
      </w:tr>
      <w:tr w:rsidR="001E3C96" w:rsidRPr="00647C95" w:rsidTr="009618E1">
        <w:trPr>
          <w:jc w:val="center"/>
        </w:trPr>
        <w:tc>
          <w:tcPr>
            <w:tcW w:w="4649" w:type="dxa"/>
            <w:vAlign w:val="center"/>
          </w:tcPr>
          <w:p w:rsidR="001E3C96" w:rsidRPr="00C27C6E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Financial Accounting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Contabilidad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Financiera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79" w:type="dxa"/>
            <w:vAlign w:val="center"/>
          </w:tcPr>
          <w:p w:rsidR="001E3C96" w:rsidRPr="00C27C6E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Contabilidad I y II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647C95" w:rsidTr="009618E1">
        <w:trPr>
          <w:jc w:val="center"/>
        </w:trPr>
        <w:tc>
          <w:tcPr>
            <w:tcW w:w="464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Intercultural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Communication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(Comunicación Intercultural)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 2º Año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647C95" w:rsidTr="009618E1">
        <w:trPr>
          <w:jc w:val="center"/>
        </w:trPr>
        <w:tc>
          <w:tcPr>
            <w:tcW w:w="464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Management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Accounting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(Contabilidad Gerencial)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Contabilidad de Costos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647C95" w:rsidTr="009618E1">
        <w:trPr>
          <w:jc w:val="center"/>
        </w:trPr>
        <w:tc>
          <w:tcPr>
            <w:tcW w:w="464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Cálculo Integral y Diferencial (Bach.)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Cálculo I y II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</w:tbl>
    <w:p w:rsidR="001E3C96" w:rsidRDefault="001E3C96" w:rsidP="001E3C96">
      <w:pPr>
        <w:spacing w:after="0" w:line="240" w:lineRule="auto"/>
        <w:rPr>
          <w:rFonts w:ascii="Garamond" w:hAnsi="Garamond"/>
          <w:b/>
          <w:sz w:val="24"/>
          <w:szCs w:val="24"/>
          <w:lang w:val="es-SV"/>
        </w:rPr>
      </w:pPr>
      <w:r>
        <w:rPr>
          <w:rFonts w:ascii="Garamond" w:hAnsi="Garamond"/>
          <w:b/>
          <w:sz w:val="24"/>
          <w:szCs w:val="24"/>
          <w:lang w:val="es-SV"/>
        </w:rPr>
        <w:lastRenderedPageBreak/>
        <w:t>Equivalencias para asignaturas de 3er Año de ESEN</w:t>
      </w:r>
      <w:r w:rsidR="00F111F9">
        <w:rPr>
          <w:rFonts w:ascii="Garamond" w:hAnsi="Garamond"/>
          <w:b/>
          <w:sz w:val="24"/>
          <w:szCs w:val="24"/>
          <w:lang w:val="es-SV"/>
        </w:rPr>
        <w:t xml:space="preserve"> entre HFU y ESEN:</w:t>
      </w:r>
    </w:p>
    <w:p w:rsidR="001E3C96" w:rsidRDefault="001E3C96" w:rsidP="001E3C96">
      <w:pPr>
        <w:spacing w:after="0" w:line="240" w:lineRule="auto"/>
        <w:rPr>
          <w:rFonts w:ascii="Garamond" w:hAnsi="Garamond"/>
          <w:b/>
          <w:sz w:val="24"/>
          <w:szCs w:val="24"/>
          <w:lang w:val="es-S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379"/>
        <w:gridCol w:w="4169"/>
        <w:gridCol w:w="379"/>
      </w:tblGrid>
      <w:tr w:rsidR="001E3C96" w:rsidRPr="00C27C6E" w:rsidTr="001E3C96">
        <w:trPr>
          <w:jc w:val="center"/>
        </w:trPr>
        <w:tc>
          <w:tcPr>
            <w:tcW w:w="5028" w:type="dxa"/>
            <w:gridSpan w:val="2"/>
            <w:shd w:val="clear" w:color="auto" w:fill="000000" w:themeFill="text1"/>
          </w:tcPr>
          <w:p w:rsidR="001E3C96" w:rsidRPr="00C27C6E" w:rsidRDefault="001E3C96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27C6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HFU</w:t>
            </w:r>
          </w:p>
        </w:tc>
        <w:tc>
          <w:tcPr>
            <w:tcW w:w="4548" w:type="dxa"/>
            <w:gridSpan w:val="2"/>
            <w:shd w:val="clear" w:color="auto" w:fill="000000" w:themeFill="text1"/>
          </w:tcPr>
          <w:p w:rsidR="001E3C96" w:rsidRPr="00C27C6E" w:rsidRDefault="001E3C96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27C6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ESEN</w:t>
            </w:r>
          </w:p>
        </w:tc>
      </w:tr>
      <w:tr w:rsidR="001E3C96" w:rsidRPr="00647C95" w:rsidTr="009618E1">
        <w:trPr>
          <w:jc w:val="center"/>
        </w:trPr>
        <w:tc>
          <w:tcPr>
            <w:tcW w:w="4649" w:type="dxa"/>
            <w:vAlign w:val="center"/>
          </w:tcPr>
          <w:p w:rsidR="001E3C96" w:rsidRPr="00C27C6E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Economics (Economía)</w:t>
            </w:r>
          </w:p>
        </w:tc>
        <w:tc>
          <w:tcPr>
            <w:tcW w:w="379" w:type="dxa"/>
            <w:vAlign w:val="center"/>
          </w:tcPr>
          <w:p w:rsidR="001E3C96" w:rsidRPr="00C27C6E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Micro I y II, Macro I y II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F72ADD" w:rsidTr="009618E1">
        <w:trPr>
          <w:jc w:val="center"/>
        </w:trPr>
        <w:tc>
          <w:tcPr>
            <w:tcW w:w="464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 w:rsidRPr="00F72ADD">
              <w:rPr>
                <w:rFonts w:ascii="Garamond" w:hAnsi="Garamond"/>
                <w:sz w:val="24"/>
                <w:szCs w:val="24"/>
              </w:rPr>
              <w:t>Human Resource Management (Administración de RR.HH.)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Admón. de RR.HH.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Quantitative Business Analysis I &amp; II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 w:rsidRPr="00F72ADD">
              <w:rPr>
                <w:rFonts w:ascii="Garamond" w:hAnsi="Garamond"/>
                <w:sz w:val="24"/>
                <w:szCs w:val="24"/>
                <w:lang w:val="es-SV"/>
              </w:rPr>
              <w:t>Estadística Aplicada, Inferencia Estadística y Econometr</w:t>
            </w:r>
            <w:r>
              <w:rPr>
                <w:rFonts w:ascii="Garamond" w:hAnsi="Garamond"/>
                <w:sz w:val="24"/>
                <w:szCs w:val="24"/>
                <w:lang w:val="es-SV"/>
              </w:rPr>
              <w:t>ía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F72ADD" w:rsidTr="009618E1">
        <w:trPr>
          <w:jc w:val="center"/>
        </w:trPr>
        <w:tc>
          <w:tcPr>
            <w:tcW w:w="464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Managing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Cultural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Diversity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(Administrando la Diversidad Cultural)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Técnicas de Negociación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F72ADD" w:rsidTr="009618E1">
        <w:trPr>
          <w:jc w:val="center"/>
        </w:trPr>
        <w:tc>
          <w:tcPr>
            <w:tcW w:w="464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Politics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Society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&amp; Culture (Política, Sociedad y Cultura)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Empresa y su Entorno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F72ADD" w:rsidTr="009618E1">
        <w:trPr>
          <w:jc w:val="center"/>
        </w:trPr>
        <w:tc>
          <w:tcPr>
            <w:tcW w:w="464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Marketing (Mercadeo)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Mercadeo I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874B6E" w:rsidTr="009618E1">
        <w:trPr>
          <w:jc w:val="center"/>
        </w:trPr>
        <w:tc>
          <w:tcPr>
            <w:tcW w:w="4649" w:type="dxa"/>
            <w:vAlign w:val="center"/>
          </w:tcPr>
          <w:p w:rsidR="001E3C96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Management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Liderazgo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Business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Law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(Derecho y Negocios)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Derecho Mercantil, Derecho Tributario y Derecho Laboral</w:t>
            </w:r>
          </w:p>
        </w:tc>
        <w:tc>
          <w:tcPr>
            <w:tcW w:w="379" w:type="dxa"/>
            <w:vAlign w:val="center"/>
          </w:tcPr>
          <w:p w:rsidR="001E3C96" w:rsidRPr="00F72ADD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</w:tbl>
    <w:p w:rsidR="001E3C96" w:rsidRDefault="001E3C96" w:rsidP="001E3C96">
      <w:pPr>
        <w:rPr>
          <w:lang w:val="es-SV"/>
        </w:rPr>
      </w:pPr>
    </w:p>
    <w:p w:rsidR="001E3C96" w:rsidRDefault="001E3C96" w:rsidP="001E3C96">
      <w:pPr>
        <w:spacing w:after="0" w:line="240" w:lineRule="auto"/>
        <w:rPr>
          <w:rFonts w:ascii="Garamond" w:hAnsi="Garamond"/>
          <w:b/>
          <w:sz w:val="24"/>
          <w:szCs w:val="24"/>
          <w:lang w:val="es-SV"/>
        </w:rPr>
      </w:pPr>
      <w:r>
        <w:rPr>
          <w:rFonts w:ascii="Garamond" w:hAnsi="Garamond"/>
          <w:b/>
          <w:sz w:val="24"/>
          <w:szCs w:val="24"/>
          <w:lang w:val="es-SV"/>
        </w:rPr>
        <w:t>Equivalencias para asignaturas de 4o Año de ESEN</w:t>
      </w:r>
      <w:r w:rsidR="00F111F9">
        <w:rPr>
          <w:rFonts w:ascii="Garamond" w:hAnsi="Garamond"/>
          <w:b/>
          <w:sz w:val="24"/>
          <w:szCs w:val="24"/>
          <w:lang w:val="es-SV"/>
        </w:rPr>
        <w:t xml:space="preserve"> entre HFU y ESEN:</w:t>
      </w:r>
    </w:p>
    <w:p w:rsidR="001E3C96" w:rsidRDefault="001E3C96" w:rsidP="001E3C96">
      <w:pPr>
        <w:spacing w:after="0" w:line="240" w:lineRule="auto"/>
        <w:rPr>
          <w:rFonts w:ascii="Garamond" w:hAnsi="Garamond"/>
          <w:b/>
          <w:sz w:val="24"/>
          <w:szCs w:val="24"/>
          <w:lang w:val="es-S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379"/>
        <w:gridCol w:w="4169"/>
        <w:gridCol w:w="379"/>
      </w:tblGrid>
      <w:tr w:rsidR="001E3C96" w:rsidRPr="00C27C6E" w:rsidTr="001E3C96">
        <w:trPr>
          <w:jc w:val="center"/>
        </w:trPr>
        <w:tc>
          <w:tcPr>
            <w:tcW w:w="5028" w:type="dxa"/>
            <w:gridSpan w:val="2"/>
            <w:shd w:val="clear" w:color="auto" w:fill="000000" w:themeFill="text1"/>
          </w:tcPr>
          <w:p w:rsidR="001E3C96" w:rsidRPr="00C27C6E" w:rsidRDefault="001E3C96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27C6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HFU</w:t>
            </w:r>
          </w:p>
        </w:tc>
        <w:tc>
          <w:tcPr>
            <w:tcW w:w="4548" w:type="dxa"/>
            <w:gridSpan w:val="2"/>
            <w:shd w:val="clear" w:color="auto" w:fill="000000" w:themeFill="text1"/>
          </w:tcPr>
          <w:p w:rsidR="001E3C96" w:rsidRPr="00C27C6E" w:rsidRDefault="001E3C96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27C6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ESEN</w:t>
            </w:r>
          </w:p>
        </w:tc>
      </w:tr>
      <w:tr w:rsidR="001E3C96" w:rsidRPr="00647C95" w:rsidTr="009618E1">
        <w:trPr>
          <w:jc w:val="center"/>
        </w:trPr>
        <w:tc>
          <w:tcPr>
            <w:tcW w:w="4649" w:type="dxa"/>
            <w:vAlign w:val="center"/>
          </w:tcPr>
          <w:p w:rsidR="001E3C96" w:rsidRPr="00C27C6E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Corporate Finance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Finanzas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Corporativas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79" w:type="dxa"/>
            <w:vAlign w:val="center"/>
          </w:tcPr>
          <w:p w:rsidR="001E3C96" w:rsidRPr="00C27C6E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Finanzas I y II</w:t>
            </w:r>
          </w:p>
        </w:tc>
        <w:tc>
          <w:tcPr>
            <w:tcW w:w="379" w:type="dxa"/>
            <w:vAlign w:val="center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AC2770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 w:rsidRPr="00AC2770">
              <w:rPr>
                <w:rFonts w:ascii="Garamond" w:hAnsi="Garamond"/>
                <w:sz w:val="24"/>
                <w:szCs w:val="24"/>
                <w:lang w:val="es-SV"/>
              </w:rPr>
              <w:t xml:space="preserve">Marketing </w:t>
            </w:r>
            <w:proofErr w:type="spellStart"/>
            <w:r w:rsidRPr="00AC2770">
              <w:rPr>
                <w:rFonts w:ascii="Garamond" w:hAnsi="Garamond"/>
                <w:sz w:val="24"/>
                <w:szCs w:val="24"/>
                <w:lang w:val="es-SV"/>
              </w:rPr>
              <w:t>Research</w:t>
            </w:r>
            <w:proofErr w:type="spellEnd"/>
            <w:r w:rsidRPr="00AC2770">
              <w:rPr>
                <w:rFonts w:ascii="Garamond" w:hAnsi="Garamond"/>
                <w:sz w:val="24"/>
                <w:szCs w:val="24"/>
                <w:lang w:val="es-SV"/>
              </w:rPr>
              <w:t xml:space="preserve"> (Investigación de Mercados)</w:t>
            </w:r>
          </w:p>
        </w:tc>
        <w:tc>
          <w:tcPr>
            <w:tcW w:w="379" w:type="dxa"/>
            <w:vAlign w:val="center"/>
          </w:tcPr>
          <w:p w:rsidR="001E3C96" w:rsidRPr="00AC2770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AC2770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Mercadeo II: Investigación de Mercados</w:t>
            </w:r>
          </w:p>
        </w:tc>
        <w:tc>
          <w:tcPr>
            <w:tcW w:w="379" w:type="dxa"/>
            <w:vAlign w:val="center"/>
          </w:tcPr>
          <w:p w:rsidR="001E3C96" w:rsidRPr="00AC2770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854444" w:rsidTr="009618E1">
        <w:trPr>
          <w:jc w:val="center"/>
        </w:trPr>
        <w:tc>
          <w:tcPr>
            <w:tcW w:w="464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 w:rsidRPr="00854444">
              <w:rPr>
                <w:rFonts w:ascii="Garamond" w:hAnsi="Garamond"/>
                <w:sz w:val="24"/>
                <w:szCs w:val="24"/>
              </w:rPr>
              <w:t>Advanced Human Resource Management (</w:t>
            </w:r>
            <w:proofErr w:type="spellStart"/>
            <w:r w:rsidRPr="00854444">
              <w:rPr>
                <w:rFonts w:ascii="Garamond" w:hAnsi="Garamond"/>
                <w:sz w:val="24"/>
                <w:szCs w:val="24"/>
              </w:rPr>
              <w:t>Adm</w:t>
            </w:r>
            <w:r>
              <w:rPr>
                <w:rFonts w:ascii="Garamond" w:hAnsi="Garamond"/>
                <w:sz w:val="24"/>
                <w:szCs w:val="24"/>
              </w:rPr>
              <w:t>ón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. de RR.HH.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Avanzada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7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Comportamiento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Organizacional</w:t>
            </w:r>
            <w:proofErr w:type="spellEnd"/>
          </w:p>
        </w:tc>
        <w:tc>
          <w:tcPr>
            <w:tcW w:w="37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E3C96" w:rsidRPr="00854444" w:rsidTr="009618E1">
        <w:trPr>
          <w:jc w:val="center"/>
        </w:trPr>
        <w:tc>
          <w:tcPr>
            <w:tcW w:w="464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Regional Analysis and International Competitiveness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Análisis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Regional y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Competitividad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Internacional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7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REN III</w:t>
            </w:r>
          </w:p>
        </w:tc>
        <w:tc>
          <w:tcPr>
            <w:tcW w:w="37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E3C96" w:rsidRPr="00854444" w:rsidTr="009618E1">
        <w:trPr>
          <w:jc w:val="center"/>
        </w:trPr>
        <w:tc>
          <w:tcPr>
            <w:tcW w:w="464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Project Management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Admón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de Proyectos)</w:t>
            </w:r>
          </w:p>
        </w:tc>
        <w:tc>
          <w:tcPr>
            <w:tcW w:w="37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Métodos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Optimización</w:t>
            </w:r>
            <w:proofErr w:type="spellEnd"/>
          </w:p>
        </w:tc>
        <w:tc>
          <w:tcPr>
            <w:tcW w:w="37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E3C96" w:rsidRPr="00854444" w:rsidTr="009618E1">
        <w:trPr>
          <w:jc w:val="center"/>
        </w:trPr>
        <w:tc>
          <w:tcPr>
            <w:tcW w:w="464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International Supply Chain Management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Admón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de Operaciones Internacionales)</w:t>
            </w:r>
          </w:p>
        </w:tc>
        <w:tc>
          <w:tcPr>
            <w:tcW w:w="37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Ingeniería de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Procesos</w:t>
            </w:r>
            <w:proofErr w:type="spellEnd"/>
          </w:p>
        </w:tc>
        <w:tc>
          <w:tcPr>
            <w:tcW w:w="37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E3C96" w:rsidRPr="00BF4431" w:rsidTr="009618E1">
        <w:trPr>
          <w:jc w:val="center"/>
        </w:trPr>
        <w:tc>
          <w:tcPr>
            <w:tcW w:w="464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Business Ethics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Ética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Empresarial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79" w:type="dxa"/>
            <w:vAlign w:val="center"/>
          </w:tcPr>
          <w:p w:rsidR="001E3C96" w:rsidRPr="00854444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1E3C96" w:rsidRPr="00F54296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 w:rsidRPr="00F54296">
              <w:rPr>
                <w:rFonts w:ascii="Garamond" w:hAnsi="Garamond"/>
                <w:sz w:val="24"/>
                <w:szCs w:val="24"/>
                <w:lang w:val="es-SV"/>
              </w:rPr>
              <w:t>Ética y Electiva: Ética Empresarial</w:t>
            </w:r>
          </w:p>
        </w:tc>
        <w:tc>
          <w:tcPr>
            <w:tcW w:w="379" w:type="dxa"/>
            <w:vAlign w:val="center"/>
          </w:tcPr>
          <w:p w:rsidR="001E3C96" w:rsidRPr="00F54296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FE7D6A" w:rsidTr="009618E1">
        <w:trPr>
          <w:jc w:val="center"/>
        </w:trPr>
        <w:tc>
          <w:tcPr>
            <w:tcW w:w="4649" w:type="dxa"/>
            <w:vAlign w:val="center"/>
          </w:tcPr>
          <w:p w:rsidR="001E3C96" w:rsidRPr="00FE7D6A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 w:rsidRPr="00FE7D6A">
              <w:rPr>
                <w:rFonts w:ascii="Garamond" w:hAnsi="Garamond"/>
                <w:sz w:val="24"/>
                <w:szCs w:val="24"/>
                <w:lang w:val="es-SV"/>
              </w:rPr>
              <w:t xml:space="preserve">International </w:t>
            </w:r>
            <w:proofErr w:type="spellStart"/>
            <w:r w:rsidRPr="00FE7D6A">
              <w:rPr>
                <w:rFonts w:ascii="Garamond" w:hAnsi="Garamond"/>
                <w:sz w:val="24"/>
                <w:szCs w:val="24"/>
                <w:lang w:val="es-SV"/>
              </w:rPr>
              <w:t>Finance</w:t>
            </w:r>
            <w:proofErr w:type="spellEnd"/>
            <w:r w:rsidRPr="00FE7D6A">
              <w:rPr>
                <w:rFonts w:ascii="Garamond" w:hAnsi="Garamond"/>
                <w:sz w:val="24"/>
                <w:szCs w:val="24"/>
                <w:lang w:val="es-SV"/>
              </w:rPr>
              <w:t xml:space="preserve"> &amp; </w:t>
            </w:r>
            <w:proofErr w:type="spellStart"/>
            <w:r w:rsidRPr="00FE7D6A">
              <w:rPr>
                <w:rFonts w:ascii="Garamond" w:hAnsi="Garamond"/>
                <w:sz w:val="24"/>
                <w:szCs w:val="24"/>
                <w:lang w:val="es-SV"/>
              </w:rPr>
              <w:t>Accounting</w:t>
            </w:r>
            <w:proofErr w:type="spellEnd"/>
            <w:r w:rsidRPr="00FE7D6A">
              <w:rPr>
                <w:rFonts w:ascii="Garamond" w:hAnsi="Garamond"/>
                <w:sz w:val="24"/>
                <w:szCs w:val="24"/>
                <w:lang w:val="es-SV"/>
              </w:rPr>
              <w:t xml:space="preserve"> (Finanzas Internacionales y Contabilidad)</w:t>
            </w:r>
          </w:p>
        </w:tc>
        <w:tc>
          <w:tcPr>
            <w:tcW w:w="379" w:type="dxa"/>
            <w:vAlign w:val="center"/>
          </w:tcPr>
          <w:p w:rsidR="001E3C96" w:rsidRPr="00FE7D6A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FE7D6A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Electiva: Presupuestos</w:t>
            </w:r>
          </w:p>
        </w:tc>
        <w:tc>
          <w:tcPr>
            <w:tcW w:w="379" w:type="dxa"/>
            <w:vAlign w:val="center"/>
          </w:tcPr>
          <w:p w:rsidR="001E3C96" w:rsidRPr="00FE7D6A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FE7D6A" w:rsidTr="009618E1">
        <w:trPr>
          <w:jc w:val="center"/>
        </w:trPr>
        <w:tc>
          <w:tcPr>
            <w:tcW w:w="4649" w:type="dxa"/>
            <w:vAlign w:val="center"/>
          </w:tcPr>
          <w:p w:rsidR="001E3C96" w:rsidRPr="00FE7D6A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Consumer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Behavior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(Conducta del Consumidor)</w:t>
            </w:r>
          </w:p>
        </w:tc>
        <w:tc>
          <w:tcPr>
            <w:tcW w:w="379" w:type="dxa"/>
            <w:vAlign w:val="center"/>
          </w:tcPr>
          <w:p w:rsidR="001E3C96" w:rsidRPr="00FE7D6A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4169" w:type="dxa"/>
            <w:vAlign w:val="center"/>
          </w:tcPr>
          <w:p w:rsidR="001E3C96" w:rsidRPr="00FE7D6A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Electiva: Mercadeo III - Ventas</w:t>
            </w:r>
          </w:p>
        </w:tc>
        <w:tc>
          <w:tcPr>
            <w:tcW w:w="379" w:type="dxa"/>
            <w:vAlign w:val="center"/>
          </w:tcPr>
          <w:p w:rsidR="001E3C96" w:rsidRPr="00FE7D6A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</w:tbl>
    <w:p w:rsidR="001E3C96" w:rsidRDefault="001E3C96" w:rsidP="001E3C96">
      <w:pPr>
        <w:spacing w:after="0" w:line="240" w:lineRule="auto"/>
        <w:rPr>
          <w:rFonts w:ascii="Garamond" w:hAnsi="Garamond"/>
          <w:b/>
          <w:sz w:val="24"/>
          <w:szCs w:val="24"/>
          <w:lang w:val="es-SV"/>
        </w:rPr>
      </w:pPr>
    </w:p>
    <w:p w:rsidR="001E3C96" w:rsidRDefault="001E3C96" w:rsidP="001E3C96">
      <w:pPr>
        <w:spacing w:after="0" w:line="240" w:lineRule="auto"/>
        <w:rPr>
          <w:rFonts w:ascii="Garamond" w:hAnsi="Garamond"/>
          <w:b/>
          <w:sz w:val="24"/>
          <w:szCs w:val="24"/>
          <w:lang w:val="es-SV"/>
        </w:rPr>
      </w:pPr>
      <w:r>
        <w:rPr>
          <w:rFonts w:ascii="Garamond" w:hAnsi="Garamond"/>
          <w:b/>
          <w:sz w:val="24"/>
          <w:szCs w:val="24"/>
          <w:lang w:val="es-SV"/>
        </w:rPr>
        <w:t>Equivalencias para asignaturas de 5o Año de ESEN</w:t>
      </w:r>
      <w:r w:rsidR="00F111F9">
        <w:rPr>
          <w:rFonts w:ascii="Garamond" w:hAnsi="Garamond"/>
          <w:b/>
          <w:sz w:val="24"/>
          <w:szCs w:val="24"/>
          <w:lang w:val="es-SV"/>
        </w:rPr>
        <w:t xml:space="preserve"> entre HFU y ESEN:</w:t>
      </w:r>
    </w:p>
    <w:p w:rsidR="001E3C96" w:rsidRDefault="001E3C96" w:rsidP="001E3C96">
      <w:pPr>
        <w:spacing w:after="0" w:line="240" w:lineRule="auto"/>
        <w:rPr>
          <w:rFonts w:ascii="Garamond" w:hAnsi="Garamond"/>
          <w:b/>
          <w:sz w:val="24"/>
          <w:szCs w:val="24"/>
          <w:lang w:val="es-S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59"/>
        <w:gridCol w:w="379"/>
        <w:gridCol w:w="5011"/>
        <w:gridCol w:w="379"/>
      </w:tblGrid>
      <w:tr w:rsidR="001E3C96" w:rsidRPr="00C27C6E" w:rsidTr="001E3C96">
        <w:trPr>
          <w:jc w:val="center"/>
        </w:trPr>
        <w:tc>
          <w:tcPr>
            <w:tcW w:w="4138" w:type="dxa"/>
            <w:gridSpan w:val="2"/>
            <w:shd w:val="clear" w:color="auto" w:fill="000000" w:themeFill="text1"/>
          </w:tcPr>
          <w:p w:rsidR="001E3C96" w:rsidRPr="00C27C6E" w:rsidRDefault="001E3C96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27C6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HFU</w:t>
            </w:r>
          </w:p>
        </w:tc>
        <w:tc>
          <w:tcPr>
            <w:tcW w:w="5390" w:type="dxa"/>
            <w:gridSpan w:val="2"/>
            <w:shd w:val="clear" w:color="auto" w:fill="000000" w:themeFill="text1"/>
          </w:tcPr>
          <w:p w:rsidR="001E3C96" w:rsidRPr="00C27C6E" w:rsidRDefault="001E3C96" w:rsidP="009618E1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27C6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ESEN</w:t>
            </w:r>
          </w:p>
        </w:tc>
      </w:tr>
      <w:tr w:rsidR="001E3C96" w:rsidRPr="00BF4431" w:rsidTr="009618E1">
        <w:trPr>
          <w:jc w:val="center"/>
        </w:trPr>
        <w:tc>
          <w:tcPr>
            <w:tcW w:w="3759" w:type="dxa"/>
          </w:tcPr>
          <w:p w:rsidR="001E3C96" w:rsidRPr="00C27C6E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Thesis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Tesis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79" w:type="dxa"/>
          </w:tcPr>
          <w:p w:rsidR="001E3C96" w:rsidRPr="00C27C6E" w:rsidRDefault="001E3C96" w:rsidP="009618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11" w:type="dxa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Nuevos Negocios y Creatividad y Electiva 5º Año</w:t>
            </w:r>
          </w:p>
        </w:tc>
        <w:tc>
          <w:tcPr>
            <w:tcW w:w="379" w:type="dxa"/>
          </w:tcPr>
          <w:p w:rsidR="001E3C96" w:rsidRPr="00647C95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AC2770" w:rsidTr="009618E1">
        <w:trPr>
          <w:jc w:val="center"/>
        </w:trPr>
        <w:tc>
          <w:tcPr>
            <w:tcW w:w="3759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Business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s-SV"/>
              </w:rPr>
              <w:t>Game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s-SV"/>
              </w:rPr>
              <w:t xml:space="preserve"> (Juego de Negocios)</w:t>
            </w:r>
          </w:p>
        </w:tc>
        <w:tc>
          <w:tcPr>
            <w:tcW w:w="379" w:type="dxa"/>
          </w:tcPr>
          <w:p w:rsidR="001E3C96" w:rsidRPr="00AC2770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5011" w:type="dxa"/>
          </w:tcPr>
          <w:p w:rsidR="001E3C96" w:rsidRPr="00AC2770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Juego de Negocios</w:t>
            </w:r>
          </w:p>
        </w:tc>
        <w:tc>
          <w:tcPr>
            <w:tcW w:w="379" w:type="dxa"/>
          </w:tcPr>
          <w:p w:rsidR="001E3C96" w:rsidRPr="00AC2770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691BE4" w:rsidTr="009618E1">
        <w:trPr>
          <w:jc w:val="center"/>
        </w:trPr>
        <w:tc>
          <w:tcPr>
            <w:tcW w:w="3759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</w:t>
            </w:r>
          </w:p>
        </w:tc>
        <w:tc>
          <w:tcPr>
            <w:tcW w:w="379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5011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 5º Año</w:t>
            </w:r>
          </w:p>
        </w:tc>
        <w:tc>
          <w:tcPr>
            <w:tcW w:w="379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691BE4" w:rsidTr="009618E1">
        <w:trPr>
          <w:jc w:val="center"/>
        </w:trPr>
        <w:tc>
          <w:tcPr>
            <w:tcW w:w="3759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</w:t>
            </w:r>
          </w:p>
        </w:tc>
        <w:tc>
          <w:tcPr>
            <w:tcW w:w="379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5011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 5º Año</w:t>
            </w:r>
          </w:p>
        </w:tc>
        <w:tc>
          <w:tcPr>
            <w:tcW w:w="379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  <w:tr w:rsidR="001E3C96" w:rsidRPr="00691BE4" w:rsidTr="009618E1">
        <w:trPr>
          <w:jc w:val="center"/>
        </w:trPr>
        <w:tc>
          <w:tcPr>
            <w:tcW w:w="3759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</w:t>
            </w:r>
          </w:p>
        </w:tc>
        <w:tc>
          <w:tcPr>
            <w:tcW w:w="379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  <w:tc>
          <w:tcPr>
            <w:tcW w:w="5011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  <w:r>
              <w:rPr>
                <w:rFonts w:ascii="Garamond" w:hAnsi="Garamond"/>
                <w:sz w:val="24"/>
                <w:szCs w:val="24"/>
                <w:lang w:val="es-SV"/>
              </w:rPr>
              <w:t>Electiva 5º Año</w:t>
            </w:r>
          </w:p>
        </w:tc>
        <w:tc>
          <w:tcPr>
            <w:tcW w:w="379" w:type="dxa"/>
          </w:tcPr>
          <w:p w:rsidR="001E3C96" w:rsidRPr="00691BE4" w:rsidRDefault="001E3C96" w:rsidP="009618E1">
            <w:pPr>
              <w:rPr>
                <w:rFonts w:ascii="Garamond" w:hAnsi="Garamond"/>
                <w:sz w:val="24"/>
                <w:szCs w:val="24"/>
                <w:lang w:val="es-SV"/>
              </w:rPr>
            </w:pPr>
          </w:p>
        </w:tc>
      </w:tr>
    </w:tbl>
    <w:p w:rsidR="001E3C96" w:rsidRDefault="001E3C96" w:rsidP="001E3C96">
      <w:pPr>
        <w:spacing w:after="0" w:line="360" w:lineRule="auto"/>
        <w:jc w:val="both"/>
        <w:rPr>
          <w:rFonts w:ascii="Garamond" w:hAnsi="Garamond"/>
          <w:sz w:val="24"/>
          <w:szCs w:val="24"/>
          <w:lang w:val="es-SV"/>
        </w:rPr>
      </w:pPr>
    </w:p>
    <w:sectPr w:rsidR="001E3C96" w:rsidSect="004C6C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66"/>
    <w:rsid w:val="000C3E89"/>
    <w:rsid w:val="00173966"/>
    <w:rsid w:val="001C5C28"/>
    <w:rsid w:val="001E3C96"/>
    <w:rsid w:val="001F282C"/>
    <w:rsid w:val="002353FC"/>
    <w:rsid w:val="002D569A"/>
    <w:rsid w:val="003039B6"/>
    <w:rsid w:val="003E75EB"/>
    <w:rsid w:val="004305E0"/>
    <w:rsid w:val="00464D5B"/>
    <w:rsid w:val="004C6C3E"/>
    <w:rsid w:val="006C3617"/>
    <w:rsid w:val="00774546"/>
    <w:rsid w:val="007B2FDB"/>
    <w:rsid w:val="008C2BBD"/>
    <w:rsid w:val="009356C0"/>
    <w:rsid w:val="009E6DA4"/>
    <w:rsid w:val="00B00ACA"/>
    <w:rsid w:val="00BF4431"/>
    <w:rsid w:val="00CC4576"/>
    <w:rsid w:val="00D32C5A"/>
    <w:rsid w:val="00EC08F5"/>
    <w:rsid w:val="00F00167"/>
    <w:rsid w:val="00F111F9"/>
    <w:rsid w:val="00F3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ESEN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</dc:creator>
  <cp:lastModifiedBy>Fátima Rivera</cp:lastModifiedBy>
  <cp:revision>2</cp:revision>
  <cp:lastPrinted>2014-08-11T20:13:00Z</cp:lastPrinted>
  <dcterms:created xsi:type="dcterms:W3CDTF">2017-03-22T20:04:00Z</dcterms:created>
  <dcterms:modified xsi:type="dcterms:W3CDTF">2017-03-22T20:04:00Z</dcterms:modified>
</cp:coreProperties>
</file>